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51" w:rsidRPr="00834194" w:rsidRDefault="007A5CAD" w:rsidP="00834194">
      <w:pPr>
        <w:spacing w:after="0" w:line="240" w:lineRule="auto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 xml:space="preserve">M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E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M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O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R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I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A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  D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E  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C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Á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L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C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>U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 L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sz w:val="20"/>
          <w:szCs w:val="20"/>
        </w:rPr>
        <w:t xml:space="preserve">O  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1F6E15">
        <w:rPr>
          <w:rFonts w:ascii="Century Gothic" w:hAnsi="Century Gothic" w:cs="Century Gothic"/>
          <w:b/>
          <w:sz w:val="20"/>
          <w:szCs w:val="20"/>
        </w:rPr>
        <w:t>G</w:t>
      </w:r>
      <w:r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834194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1F6E15">
        <w:rPr>
          <w:rFonts w:ascii="Century Gothic" w:hAnsi="Century Gothic" w:cs="Century Gothic"/>
          <w:b/>
          <w:sz w:val="20"/>
          <w:szCs w:val="20"/>
        </w:rPr>
        <w:t>A  S</w:t>
      </w:r>
    </w:p>
    <w:p w:rsidR="006B6351" w:rsidRDefault="006B6351">
      <w:pPr>
        <w:spacing w:after="0" w:line="2" w:lineRule="auto"/>
      </w:pPr>
    </w:p>
    <w:p w:rsidR="006B6351" w:rsidRDefault="006B6351">
      <w:pPr>
        <w:pageBreakBefore/>
        <w:spacing w:after="0" w:line="2" w:lineRule="auto"/>
      </w:pPr>
    </w:p>
    <w:p w:rsidR="006B6351" w:rsidRDefault="006B6351">
      <w:pPr>
        <w:spacing w:after="0" w:line="2" w:lineRule="auto"/>
      </w:pPr>
    </w:p>
    <w:p w:rsidR="006B6351" w:rsidRDefault="006B6351">
      <w:pPr>
        <w:keepNext/>
        <w:spacing w:after="0" w:line="2" w:lineRule="auto"/>
      </w:pPr>
    </w:p>
    <w:p w:rsidR="001F6E15" w:rsidRDefault="001F6E15">
      <w:pPr>
        <w:spacing w:after="0" w:line="2" w:lineRule="auto"/>
      </w:pPr>
      <w:bookmarkStart w:id="0" w:name="REF_HTML:_RC_:1"/>
      <w:bookmarkEnd w:id="0"/>
    </w:p>
    <w:p w:rsidR="001F6E15" w:rsidRPr="00F278CF" w:rsidRDefault="001F6E15" w:rsidP="001F6E15">
      <w:pPr>
        <w:pStyle w:val="CAP1"/>
        <w:keepNext/>
        <w:rPr>
          <w:sz w:val="16"/>
          <w:szCs w:val="16"/>
        </w:rPr>
      </w:pPr>
      <w:r>
        <w:rPr>
          <w:sz w:val="16"/>
          <w:szCs w:val="16"/>
        </w:rPr>
        <w:t>1.-</w:t>
      </w:r>
      <w:r w:rsidRPr="00F278CF">
        <w:rPr>
          <w:sz w:val="16"/>
          <w:szCs w:val="16"/>
        </w:rPr>
        <w:t>RESULTADOS DEL CÁLCULO</w:t>
      </w:r>
    </w:p>
    <w:tbl>
      <w:tblPr>
        <w:tblW w:w="5004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81"/>
        <w:gridCol w:w="1758"/>
      </w:tblGrid>
      <w:tr w:rsidR="001F6E15" w:rsidTr="001F6E15">
        <w:trPr>
          <w:tblHeader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6E15" w:rsidRDefault="001F6E15" w:rsidP="00E02E31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PARÁMETROS DE CÁLCULO DE LA INSTALACIÓN RECEPTORA DE GAS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Zona climática</w:t>
            </w:r>
          </w:p>
        </w:tc>
        <w:tc>
          <w:tcPr>
            <w:tcW w:w="91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D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Coeficiente corrector en función de la zona climática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 xml:space="preserve">1.12 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Tipo de gas suministrado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Gas natural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Poder calorífico superior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9460 kcal/m³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Poder calorífico inferior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8514 kcal/m³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Densidad relativa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 xml:space="preserve">0.60 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Densidad corregida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 xml:space="preserve">0.60 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Presión de salida en el conjunto de regulación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20.0 mbar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Presión mínima en llave de aparato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17.0 mbar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Velocidad máxima en un montante individual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20.0 m/s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Velocidad máxima en la instalación interior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20.0 m/s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Coeficiente de mayoración de la longitud en conducciones</w:t>
            </w:r>
          </w:p>
        </w:tc>
        <w:tc>
          <w:tcPr>
            <w:tcW w:w="911" w:type="pct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 xml:space="preserve">1.2 </w:t>
            </w:r>
          </w:p>
        </w:tc>
      </w:tr>
      <w:tr w:rsidR="001F6E15" w:rsidTr="001F6E15">
        <w:trPr>
          <w:cantSplit/>
        </w:trPr>
        <w:tc>
          <w:tcPr>
            <w:tcW w:w="408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Potencia total en la acometida</w:t>
            </w:r>
          </w:p>
        </w:tc>
        <w:tc>
          <w:tcPr>
            <w:tcW w:w="91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Default="001F6E15" w:rsidP="00E02E31">
            <w:pPr>
              <w:pStyle w:val="CUERPOTEXTOTABLA"/>
            </w:pPr>
            <w:r>
              <w:t>165.0 kW</w:t>
            </w:r>
          </w:p>
        </w:tc>
      </w:tr>
    </w:tbl>
    <w:p w:rsidR="00834194" w:rsidRPr="001F6E15" w:rsidRDefault="00834194" w:rsidP="001F6E15">
      <w:pPr>
        <w:spacing w:after="0" w:line="240" w:lineRule="auto"/>
        <w:rPr>
          <w:rFonts w:ascii="Century Gothic" w:hAnsi="Century Gothic"/>
          <w:sz w:val="16"/>
          <w:szCs w:val="16"/>
        </w:rPr>
      </w:pPr>
    </w:p>
    <w:p w:rsidR="001F6E15" w:rsidRDefault="001F6E15" w:rsidP="001F6E15">
      <w:pPr>
        <w:pStyle w:val="CUERPOTEXTO"/>
        <w:rPr>
          <w:szCs w:val="16"/>
        </w:rPr>
      </w:pPr>
      <w:r>
        <w:rPr>
          <w:szCs w:val="16"/>
        </w:rPr>
        <w:t>Acometida desde la red general de suministro hasta el armario de regulación de presión y medida que se encentra en el límite de la parcela para su posible manipulación y medida desde el exterior.</w:t>
      </w:r>
    </w:p>
    <w:p w:rsidR="001F6E15" w:rsidRDefault="001F6E15" w:rsidP="001F6E15">
      <w:pPr>
        <w:pStyle w:val="CUERPOTEXTO"/>
        <w:rPr>
          <w:szCs w:val="16"/>
        </w:rPr>
      </w:pPr>
      <w:r>
        <w:rPr>
          <w:szCs w:val="16"/>
        </w:rPr>
        <w:t>Línea de suministro desde el armario de regulación de presión y medida hasta el la llave de corte previa  al cuarto de calderas enterrada. Se ejecutará en t</w:t>
      </w:r>
      <w:r w:rsidRPr="00E86B48">
        <w:rPr>
          <w:szCs w:val="16"/>
        </w:rPr>
        <w:t>ubo d</w:t>
      </w:r>
      <w:r>
        <w:rPr>
          <w:szCs w:val="16"/>
        </w:rPr>
        <w:t>e polietileno de alta densidad</w:t>
      </w:r>
      <w:r w:rsidRPr="00E86B48">
        <w:rPr>
          <w:szCs w:val="16"/>
        </w:rPr>
        <w:t>, SDR 11, de 4 bar de presión nominal, según UNE-EN 1555</w:t>
      </w:r>
      <w:r>
        <w:rPr>
          <w:szCs w:val="16"/>
        </w:rPr>
        <w:t>.</w:t>
      </w:r>
    </w:p>
    <w:p w:rsidR="001F6E15" w:rsidRDefault="001F6E15" w:rsidP="001F6E15">
      <w:pPr>
        <w:pStyle w:val="CUERPOTEXTO"/>
        <w:rPr>
          <w:szCs w:val="16"/>
        </w:rPr>
      </w:pPr>
      <w:r>
        <w:rPr>
          <w:szCs w:val="16"/>
        </w:rPr>
        <w:t>Llave de corte a la entrada del cuarto de calderas alojada en arqueta de PVC.</w:t>
      </w:r>
    </w:p>
    <w:p w:rsidR="001F6E15" w:rsidRDefault="001F6E15" w:rsidP="001F6E15">
      <w:pPr>
        <w:pStyle w:val="CUERPOTEXTO"/>
        <w:rPr>
          <w:szCs w:val="16"/>
        </w:rPr>
      </w:pPr>
      <w:r>
        <w:rPr>
          <w:szCs w:val="16"/>
        </w:rPr>
        <w:t>A partir de este punto la instalación pasará a ser vista de cobre estirado en frío, según UNE-EN 1057. Estará protegida con camisa de acero en toda la instalación exterior al cuarto de calderas y estará provista en su recorrido por un sistema de corte automático de  suministro mediante electroválvula de presión de servicio, estará comandada por una centralita electrónica de detección de fugas y sonda de detección, según UNE 60670.</w:t>
      </w:r>
      <w:r>
        <w:rPr>
          <w:szCs w:val="16"/>
        </w:rPr>
        <w:t xml:space="preserve"> </w:t>
      </w:r>
    </w:p>
    <w:tbl>
      <w:tblPr>
        <w:tblW w:w="963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"/>
        <w:gridCol w:w="538"/>
        <w:gridCol w:w="537"/>
        <w:gridCol w:w="496"/>
        <w:gridCol w:w="646"/>
        <w:gridCol w:w="207"/>
        <w:gridCol w:w="433"/>
        <w:gridCol w:w="646"/>
        <w:gridCol w:w="540"/>
        <w:gridCol w:w="747"/>
        <w:gridCol w:w="747"/>
        <w:gridCol w:w="747"/>
        <w:gridCol w:w="698"/>
        <w:gridCol w:w="942"/>
        <w:gridCol w:w="655"/>
      </w:tblGrid>
      <w:tr w:rsidR="001F6E15" w:rsidRPr="001F6E15" w:rsidTr="001F6E15">
        <w:trPr>
          <w:tblHeader/>
          <w:jc w:val="center"/>
        </w:trPr>
        <w:tc>
          <w:tcPr>
            <w:tcW w:w="9639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b/>
                <w:szCs w:val="16"/>
              </w:rPr>
            </w:pPr>
            <w:r w:rsidRPr="001F6E15">
              <w:rPr>
                <w:b/>
                <w:szCs w:val="16"/>
              </w:rPr>
              <w:t>ACOMETIDAS INTERIORES</w:t>
            </w:r>
          </w:p>
        </w:tc>
      </w:tr>
      <w:tr w:rsidR="001F6E15" w:rsidRPr="001F6E15" w:rsidTr="001F6E1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L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L eq.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h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Qt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(m³/h)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Fs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Qc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(m³/h)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v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(m/s)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in.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f.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fc.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rFonts w:ascii="Symbol" w:hAnsi="Symbol" w:cs="Symbol"/>
                <w:szCs w:val="16"/>
              </w:rPr>
              <w:t></w:t>
            </w:r>
            <w:r w:rsidRPr="001F6E15">
              <w:rPr>
                <w:szCs w:val="16"/>
              </w:rPr>
              <w:t>P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rFonts w:ascii="Symbol" w:hAnsi="Symbol" w:cs="Symbol"/>
                <w:szCs w:val="16"/>
              </w:rPr>
              <w:t></w:t>
            </w:r>
            <w:r w:rsidRPr="001F6E15">
              <w:rPr>
                <w:szCs w:val="16"/>
              </w:rPr>
              <w:t>P acum.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DN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Acom 1 - 1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22.92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5000.00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4999.96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4999.99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0.01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PE 63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1 - 2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2.85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3.42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-0.50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2.05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20.00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0.06</w:t>
            </w:r>
          </w:p>
        </w:tc>
        <w:tc>
          <w:tcPr>
            <w:tcW w:w="5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PE 63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9639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tbl>
            <w:tblPr>
              <w:tblW w:w="5000" w:type="pct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2"/>
              <w:gridCol w:w="4196"/>
              <w:gridCol w:w="798"/>
              <w:gridCol w:w="4196"/>
            </w:tblGrid>
            <w:tr w:rsidR="001F6E15" w:rsidRPr="001F6E15" w:rsidTr="00E02E31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bottom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 xml:space="preserve"> </w:t>
                  </w:r>
                </w:p>
              </w:tc>
            </w:tr>
            <w:tr w:rsidR="001F6E15" w:rsidRPr="001F6E15" w:rsidTr="00E02E31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jc w:val="center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Abreviaturas utilizadas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L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real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v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Velocidad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L eq.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equivalente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in.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entrada (inicial)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h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vertical acumulada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f.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salida (final)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Qt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Caudal total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fc.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salida corregida (final)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Número de abonados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rFonts w:ascii="Symbol" w:hAnsi="Symbol" w:cs="Symbol"/>
                      <w:szCs w:val="16"/>
                    </w:rPr>
                    <w:t></w:t>
                  </w:r>
                  <w:r w:rsidRPr="001F6E15">
                    <w:rPr>
                      <w:szCs w:val="16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Pérdida de presión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Fs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Factor de simultaneidad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rFonts w:ascii="Symbol" w:hAnsi="Symbol" w:cs="Symbol"/>
                      <w:szCs w:val="16"/>
                    </w:rPr>
                    <w:t></w:t>
                  </w:r>
                  <w:r w:rsidRPr="001F6E15">
                    <w:rPr>
                      <w:szCs w:val="16"/>
                    </w:rPr>
                    <w:t>P acum.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Caída de presión acumulada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Qc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Caudal calculado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DN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Diámetro nominal</w:t>
                  </w:r>
                </w:p>
              </w:tc>
            </w:tr>
          </w:tbl>
          <w:p w:rsidR="001F6E15" w:rsidRPr="001F6E15" w:rsidRDefault="001F6E15" w:rsidP="00E02E31">
            <w:pPr>
              <w:spacing w:after="0" w:line="2" w:lineRule="auto"/>
              <w:rPr>
                <w:sz w:val="16"/>
                <w:szCs w:val="16"/>
              </w:rPr>
            </w:pPr>
          </w:p>
        </w:tc>
      </w:tr>
    </w:tbl>
    <w:p w:rsidR="001F6E15" w:rsidRDefault="001F6E15" w:rsidP="001F6E15">
      <w:pPr>
        <w:pStyle w:val="CUERPOTEXTO"/>
        <w:rPr>
          <w:szCs w:val="16"/>
        </w:rPr>
      </w:pPr>
    </w:p>
    <w:tbl>
      <w:tblPr>
        <w:tblW w:w="9673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8"/>
        <w:gridCol w:w="560"/>
        <w:gridCol w:w="559"/>
        <w:gridCol w:w="451"/>
        <w:gridCol w:w="672"/>
        <w:gridCol w:w="562"/>
        <w:gridCol w:w="726"/>
        <w:gridCol w:w="726"/>
        <w:gridCol w:w="726"/>
        <w:gridCol w:w="726"/>
        <w:gridCol w:w="981"/>
        <w:gridCol w:w="926"/>
      </w:tblGrid>
      <w:tr w:rsidR="001F6E15" w:rsidRPr="001F6E15" w:rsidTr="001F6E15">
        <w:trPr>
          <w:tblHeader/>
          <w:jc w:val="center"/>
        </w:trPr>
        <w:tc>
          <w:tcPr>
            <w:tcW w:w="967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b/>
                <w:szCs w:val="16"/>
              </w:rPr>
            </w:pPr>
            <w:r w:rsidRPr="001F6E15">
              <w:rPr>
                <w:b/>
                <w:szCs w:val="16"/>
              </w:rPr>
              <w:t>INSTALACIÓN INTERIOR</w:t>
            </w:r>
          </w:p>
        </w:tc>
      </w:tr>
      <w:tr w:rsidR="001F6E15" w:rsidRPr="001F6E15" w:rsidTr="001F6E1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L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L eq.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h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Q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(m³/h)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v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(m/s)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in.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f.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P fc.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rFonts w:ascii="Symbol" w:hAnsi="Symbol" w:cs="Symbol"/>
                <w:szCs w:val="16"/>
              </w:rPr>
              <w:t></w:t>
            </w:r>
            <w:r w:rsidRPr="001F6E15">
              <w:rPr>
                <w:szCs w:val="16"/>
              </w:rPr>
              <w:t>P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rFonts w:ascii="Symbol" w:hAnsi="Symbol" w:cs="Symbol"/>
                <w:szCs w:val="16"/>
              </w:rPr>
              <w:t></w:t>
            </w:r>
            <w:r w:rsidRPr="001F6E15">
              <w:rPr>
                <w:szCs w:val="16"/>
              </w:rPr>
              <w:t>P acum.</w:t>
            </w:r>
          </w:p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(mbar)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DN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rPr>
                <w:szCs w:val="16"/>
              </w:rPr>
            </w:pPr>
            <w:r w:rsidRPr="001F6E15">
              <w:rPr>
                <w:szCs w:val="16"/>
              </w:rPr>
              <w:t>Montante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9.31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3.57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Cu 39/42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rPr>
                <w:szCs w:val="16"/>
              </w:rPr>
            </w:pPr>
            <w:r w:rsidRPr="001F6E15">
              <w:rPr>
                <w:szCs w:val="16"/>
              </w:rPr>
              <w:t>Grupo térmico a gas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10.91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13.09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2.00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3.57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18.94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19.04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0.96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6E15" w:rsidRPr="001F6E15" w:rsidRDefault="001F6E15" w:rsidP="00E02E31">
            <w:pPr>
              <w:pStyle w:val="CUERPOTEXTOTABLA"/>
              <w:jc w:val="center"/>
              <w:rPr>
                <w:szCs w:val="16"/>
              </w:rPr>
            </w:pPr>
            <w:r w:rsidRPr="001F6E15">
              <w:rPr>
                <w:szCs w:val="16"/>
              </w:rPr>
              <w:t>Cu 39/42</w:t>
            </w:r>
          </w:p>
        </w:tc>
      </w:tr>
      <w:tr w:rsidR="001F6E15" w:rsidRPr="001F6E15" w:rsidTr="001F6E15">
        <w:trPr>
          <w:cantSplit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tbl>
            <w:tblPr>
              <w:tblW w:w="5000" w:type="pct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2"/>
              <w:gridCol w:w="4213"/>
              <w:gridCol w:w="798"/>
              <w:gridCol w:w="4213"/>
            </w:tblGrid>
            <w:tr w:rsidR="001F6E15" w:rsidRPr="001F6E15" w:rsidTr="00E02E31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bottom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 xml:space="preserve"> </w:t>
                  </w:r>
                </w:p>
              </w:tc>
            </w:tr>
            <w:tr w:rsidR="001F6E15" w:rsidRPr="001F6E15" w:rsidTr="00E02E31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jc w:val="center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Abreviaturas utilizadas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L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real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f.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salida (final)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L eq.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equivalente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fc.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salida corregida (final)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h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Longitud vertical acumulada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rFonts w:ascii="Symbol" w:hAnsi="Symbol" w:cs="Symbol"/>
                      <w:szCs w:val="16"/>
                    </w:rPr>
                    <w:t></w:t>
                  </w:r>
                  <w:r w:rsidRPr="001F6E15">
                    <w:rPr>
                      <w:szCs w:val="16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Pérdida de presión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Caudal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rFonts w:ascii="Symbol" w:hAnsi="Symbol" w:cs="Symbol"/>
                      <w:szCs w:val="16"/>
                    </w:rPr>
                    <w:t></w:t>
                  </w:r>
                  <w:r w:rsidRPr="001F6E15">
                    <w:rPr>
                      <w:szCs w:val="16"/>
                    </w:rPr>
                    <w:t>P acum.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Caída de presión acumulada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Velocidad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DN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Diámetro nominal</w:t>
                  </w:r>
                </w:p>
              </w:tc>
            </w:tr>
            <w:tr w:rsidR="001F6E15" w:rsidRPr="001F6E15" w:rsidTr="00E02E31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szCs w:val="16"/>
                    </w:rPr>
                  </w:pPr>
                  <w:r w:rsidRPr="001F6E15">
                    <w:rPr>
                      <w:szCs w:val="16"/>
                    </w:rPr>
                    <w:t>P in.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F6E15" w:rsidRPr="001F6E15" w:rsidRDefault="001F6E15" w:rsidP="00E02E31">
                  <w:pPr>
                    <w:pStyle w:val="CUERPOTEXTOTABLA"/>
                    <w:rPr>
                      <w:i/>
                      <w:szCs w:val="16"/>
                    </w:rPr>
                  </w:pPr>
                  <w:r w:rsidRPr="001F6E15">
                    <w:rPr>
                      <w:i/>
                      <w:szCs w:val="16"/>
                    </w:rPr>
                    <w:t>Presión de entrada (inicial)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1F6E15" w:rsidRPr="001F6E15" w:rsidRDefault="001F6E15" w:rsidP="00E02E31">
                  <w:pPr>
                    <w:spacing w:after="0" w:line="240" w:lineRule="auto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1F6E15">
                    <w:rPr>
                      <w:rFonts w:ascii="Verdana" w:hAnsi="Verdana" w:cs="Verdana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1F6E15" w:rsidRPr="001F6E15" w:rsidRDefault="001F6E15" w:rsidP="00E02E31">
                  <w:pPr>
                    <w:spacing w:after="0" w:line="240" w:lineRule="auto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1F6E15">
                    <w:rPr>
                      <w:rFonts w:ascii="Verdana" w:hAnsi="Verdana" w:cs="Verdana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1F6E15" w:rsidRPr="001F6E15" w:rsidRDefault="001F6E15" w:rsidP="00E02E31">
            <w:pPr>
              <w:spacing w:after="0" w:line="2" w:lineRule="auto"/>
              <w:rPr>
                <w:sz w:val="16"/>
                <w:szCs w:val="16"/>
              </w:rPr>
            </w:pPr>
          </w:p>
        </w:tc>
      </w:tr>
    </w:tbl>
    <w:p w:rsidR="001F6E15" w:rsidRDefault="001F6E15" w:rsidP="001F6E15">
      <w:pPr>
        <w:pStyle w:val="CUERPOTEXTO"/>
        <w:rPr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6"/>
        </w:rPr>
      </w:pPr>
      <w:r w:rsidRPr="008836CD">
        <w:rPr>
          <w:rFonts w:ascii="Century Gothic" w:hAnsi="Century Gothic" w:cs="Century Gothic"/>
          <w:b/>
          <w:bCs/>
          <w:sz w:val="16"/>
          <w:szCs w:val="16"/>
        </w:rPr>
        <w:lastRenderedPageBreak/>
        <w:t>2. NORMAS DE EJECUCION DEL MONTAJE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6"/>
        </w:rPr>
      </w:pPr>
      <w:r>
        <w:rPr>
          <w:rFonts w:ascii="Century Gothic" w:hAnsi="Century Gothic" w:cs="Century Gothic"/>
          <w:b/>
          <w:bCs/>
          <w:sz w:val="16"/>
          <w:szCs w:val="16"/>
        </w:rPr>
        <w:t>2</w:t>
      </w:r>
      <w:r w:rsidRPr="008836CD">
        <w:rPr>
          <w:rFonts w:ascii="Century Gothic" w:hAnsi="Century Gothic" w:cs="Century Gothic"/>
          <w:b/>
          <w:bCs/>
          <w:sz w:val="16"/>
          <w:szCs w:val="16"/>
        </w:rPr>
        <w:t>.1. Acometida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6"/>
        </w:rPr>
      </w:pPr>
    </w:p>
    <w:p w:rsidR="001F6E15" w:rsidRPr="001F6E15" w:rsidRDefault="001F6E15" w:rsidP="001F6E15">
      <w:pPr>
        <w:pStyle w:val="Prrafodelista"/>
        <w:numPr>
          <w:ilvl w:val="2"/>
          <w:numId w:val="18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Tuberías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 xml:space="preserve">Serán de </w:t>
      </w:r>
      <w:r>
        <w:rPr>
          <w:rFonts w:ascii="Century Gothic" w:hAnsi="Century Gothic" w:cs="Century Gothic"/>
          <w:sz w:val="16"/>
          <w:szCs w:val="16"/>
        </w:rPr>
        <w:t>polietileno</w:t>
      </w:r>
      <w:r w:rsidRPr="008836CD">
        <w:rPr>
          <w:rFonts w:ascii="Century Gothic" w:hAnsi="Century Gothic" w:cs="Century Gothic"/>
          <w:sz w:val="16"/>
          <w:szCs w:val="16"/>
        </w:rPr>
        <w:t>.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 xml:space="preserve">Los requisitos técnicos básicos de las canalizaciones de </w:t>
      </w:r>
      <w:r>
        <w:rPr>
          <w:rFonts w:ascii="Century Gothic" w:hAnsi="Century Gothic" w:cs="Century Gothic"/>
          <w:sz w:val="16"/>
          <w:szCs w:val="16"/>
        </w:rPr>
        <w:t xml:space="preserve">polietileno </w:t>
      </w:r>
      <w:r w:rsidRPr="008836CD">
        <w:rPr>
          <w:rFonts w:ascii="Century Gothic" w:hAnsi="Century Gothic" w:cs="Century Gothic"/>
          <w:sz w:val="16"/>
          <w:szCs w:val="16"/>
        </w:rPr>
        <w:t>estarán de acuerdo con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Norma UNE-EN-12007-</w:t>
      </w:r>
      <w:r>
        <w:rPr>
          <w:rFonts w:ascii="Century Gothic" w:hAnsi="Century Gothic" w:cs="Century Gothic"/>
          <w:sz w:val="16"/>
          <w:szCs w:val="16"/>
        </w:rPr>
        <w:t>2</w:t>
      </w:r>
      <w:r w:rsidRPr="008836CD">
        <w:rPr>
          <w:rFonts w:ascii="Century Gothic" w:hAnsi="Century Gothic" w:cs="Century Gothic"/>
          <w:sz w:val="16"/>
          <w:szCs w:val="16"/>
        </w:rPr>
        <w:t xml:space="preserve"> (para presiones inferiores o iguales a 1</w:t>
      </w:r>
      <w:r>
        <w:rPr>
          <w:rFonts w:ascii="Century Gothic" w:hAnsi="Century Gothic" w:cs="Century Gothic"/>
          <w:sz w:val="16"/>
          <w:szCs w:val="16"/>
        </w:rPr>
        <w:t>0</w:t>
      </w:r>
      <w:r w:rsidRPr="008836CD">
        <w:rPr>
          <w:rFonts w:ascii="Century Gothic" w:hAnsi="Century Gothic" w:cs="Century Gothic"/>
          <w:sz w:val="16"/>
          <w:szCs w:val="16"/>
        </w:rPr>
        <w:t xml:space="preserve"> bares). Deberán cumplir a su vez con las especificaciones técnicas, requisitos y ensayos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 xml:space="preserve">mínimos de la Norma Norma </w:t>
      </w:r>
      <w:r>
        <w:rPr>
          <w:rFonts w:ascii="Century Gothic" w:hAnsi="Century Gothic" w:cs="Century Gothic"/>
          <w:sz w:val="16"/>
          <w:szCs w:val="16"/>
        </w:rPr>
        <w:t xml:space="preserve">UNE EN 1555 </w:t>
      </w:r>
      <w:r w:rsidRPr="008836CD">
        <w:rPr>
          <w:rFonts w:ascii="Century Gothic" w:hAnsi="Century Gothic" w:cs="Century Gothic"/>
          <w:sz w:val="16"/>
          <w:szCs w:val="16"/>
        </w:rPr>
        <w:t>y criterios de los diámetros de la tubería según Norma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UNE 12007-</w:t>
      </w:r>
      <w:r>
        <w:rPr>
          <w:rFonts w:ascii="Century Gothic" w:hAnsi="Century Gothic" w:cs="Century Gothic"/>
          <w:sz w:val="16"/>
          <w:szCs w:val="16"/>
        </w:rPr>
        <w:t>2</w:t>
      </w:r>
      <w:r w:rsidRPr="008836CD">
        <w:rPr>
          <w:rFonts w:ascii="Century Gothic" w:hAnsi="Century Gothic" w:cs="Century Gothic"/>
          <w:sz w:val="16"/>
          <w:szCs w:val="16"/>
        </w:rPr>
        <w:t>.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</w:p>
    <w:p w:rsidR="001F6E15" w:rsidRPr="001F6E15" w:rsidRDefault="001F6E15" w:rsidP="001F6E15">
      <w:pPr>
        <w:pStyle w:val="Prrafodelista"/>
        <w:numPr>
          <w:ilvl w:val="2"/>
          <w:numId w:val="18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Accesorios y elementos auxiliares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Según se hace referencia a la Norma UNE 60311:2001, los accesorios (piezas de forma, bridas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 otros) y elementos auxiliares (válvulas, filtros, sifones, dispositivos de limitación u otros),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las canalizaciones estarán construidos con materiales adecuados y aptos para función para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la cual han sido diseñados, y se ajustarán preferentemente a normas UNE o EN que definan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sus principales características así como las pruebas a que deben someterse.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Los elastómeros utilizados en juntas de estanquidad en contacto directo con el gas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deberán cumplir las exigencias del proyecto de Norm</w:t>
      </w:r>
      <w:r>
        <w:rPr>
          <w:rFonts w:ascii="Century Gothic" w:hAnsi="Century Gothic" w:cs="Century Gothic"/>
          <w:sz w:val="16"/>
          <w:szCs w:val="16"/>
        </w:rPr>
        <w:t xml:space="preserve">a </w:t>
      </w:r>
      <w:r w:rsidRPr="008836CD">
        <w:rPr>
          <w:rFonts w:ascii="Century Gothic" w:hAnsi="Century Gothic" w:cs="Century Gothic"/>
          <w:sz w:val="16"/>
          <w:szCs w:val="16"/>
        </w:rPr>
        <w:t>EN682.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</w:p>
    <w:p w:rsidR="001F6E15" w:rsidRPr="001F6E15" w:rsidRDefault="001F6E15" w:rsidP="001F6E15">
      <w:pPr>
        <w:pStyle w:val="Prrafodelista"/>
        <w:numPr>
          <w:ilvl w:val="2"/>
          <w:numId w:val="18"/>
        </w:num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  <w:r w:rsidRPr="00634391">
        <w:rPr>
          <w:rFonts w:ascii="Century Gothic" w:hAnsi="Century Gothic" w:cs="Century Gothic"/>
          <w:sz w:val="16"/>
          <w:szCs w:val="16"/>
        </w:rPr>
        <w:t>Construcción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 vigilancia y control de la colocación de los tubos, la realización de las uniones y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ensayos y pruebas a ejecutar los hará el propio distribuidor de gas o una Empresa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especialista designada por el mismo.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 Empresa que ejecute la instalación de los elementos que constituyen la canalización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deberá disponer del equipo y del personal especializado para la correcta realización de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trabajos.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Debe comprobarse en obra, después del transporte y antes de su colocación, el buen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 xml:space="preserve">estado de los tubos, de su </w:t>
      </w:r>
      <w:r>
        <w:rPr>
          <w:rFonts w:ascii="Century Gothic" w:hAnsi="Century Gothic" w:cs="Century Gothic"/>
          <w:sz w:val="16"/>
          <w:szCs w:val="16"/>
        </w:rPr>
        <w:t>r</w:t>
      </w:r>
      <w:r w:rsidRPr="008836CD">
        <w:rPr>
          <w:rFonts w:ascii="Century Gothic" w:hAnsi="Century Gothic" w:cs="Century Gothic"/>
          <w:sz w:val="16"/>
          <w:szCs w:val="16"/>
        </w:rPr>
        <w:t>evestimiento de los accesorios y de los elementos de unión así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como la ausencia de cuerpos extraños.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El fondo de la zanja se preparará de forma que el tubo tenga un soporte firme, continuo y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exento de materiales que puedan dañar la tubería o su protección.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Durante la instalación de la canalización se tomarán precauciones especiales para 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perturbar el buen funcionamiento de las redes de drenaje o de cualquier otra instalación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subterránea cercana a la canalización de gas.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 colocación en zanja de la tubería de polietileno se tomarán las debidas precauciones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que permitan la absorción de las dilataciones a fin de evitar sobretensiones perjudiciales por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variaciones térmicas.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 los tubos de las canalizaciones entre sí y entre estos y sus accesorios, deberán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hacerse de acuerdo con los materiales en contacto, mediante bridas, piezas especialmente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diseñadas para ello, o empleando la correspondiente técnica de soldadura en frío 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caliente. En las uniones con elementos auxiliares se podrán utilizar además de los tipos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unión anteriormente especificados las uniones roscadas. En todo caso debe asegurarse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estanqueidad de las uniones no soldadas mediante juntas comprensibles o deformables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materiales no atacables por el gas.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deben ser realizadas únicamente por personal cualificado y la realización de las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soldaduras, en las canalizaciones de acero, deberá confiarse a soldadores calificados por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el CENIM (Centro Nacional de Investigaciones Metalúrgicas) o por una Entidad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colaboradora para la aplicación de la Reglamentación técnica de distribución y utilización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de combustibles gaseoso y sus instrucciones técnicas complementarias (Decreto 919/2006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28 de Julio), tras superar las correspondientes pruebas de capacitación según norma UNE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14042 u otra de reconocido prestigio.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 los tubos de polietileno entre sí se harán normalmente por soldadura y las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éstos a accesorios, a elementos auxiliares o a tubos metálicos, se harán mediante técnicas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unión por fusión o sistemas apropiados.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las canalizaciones de polietileno, las válvulas deberán inmovilizarse a fin de evitar que se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transmitan a los tubos los esfuerzos producidos al maniobrarlas.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Todas las partes accesibles de la canalización deberán ser resistentes a la manipulación por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personal ajeno a la Compañía operadora y en su defecto deberán disponer de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correspondiente protección.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 profundidad de enterramiento de las canalizaciones deberá ser, por lo menos, igual 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0,50 metros, medidos entre la generatriz superior de la canalización y la superficie del terreno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excepto para tuberías de fundición gris, que deberá ser de 0,60 metros.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Cuando la canalización se sitúe enterrada y próxima a otras obras o conducciones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subterráneas deberá disponerse, entre las partes más cercanas de las dos instalaciones,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una distancia, como mínimo, igual a: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0,10 metros en los puntos de cruce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0,20 metros en recorridos paralelos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lastRenderedPageBreak/>
        <w:t>Siempre que sea posible deberán aumentarse estas distancias, y sobre todo, en obras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importancia, de manera que se reduzcan, para ambas obras, los riesgos inherentes a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ejecución de los trabajos de reparación y mantenimiento en la obra vecina.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Cuando por razones justificadas no puedan respetarse las profundidades señaladas en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puntos anteriores y la tubería no haya sido calculada para resistir los esfuerzos mecánicos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exteriores a que se encontrará sometida, deberán interponerse entre la tubería y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superficie del terreno losas de hormigón o planchas metálicas que reduzcan las cargas sobre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la tubería a valores equivalentes a los de la profundidad inicialmente prevista.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Cuando por causas justificadas no puedan mantenerse las distancias mínimas entre servicios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que se fijan en el punto anterior, deberán interponerse entre ambos servicios pantallas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fibrocemento, material cerámico, goma, amianto, plástico u otro material de similares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características mecánicas y dieléctricas.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Cuando la tubería atraviese espacios huecos deberá colocarse ésta en el interior de una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vaina de protección con sus correspondientes ventilaciones, salvo que esté asegurada una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perfecta ventilación en función de la estructura del hueco y la densidad del gas.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el interior de la vaina sólo se permitirán uniones soldadas.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Se colocará un sistema adecuado de indicación de la existencia de una tubería de gas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enterrada. Esta indicación se colocará a una distancia comprendida entre 20 y 30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centímetros por encima de la tubería de gas y deberá cubrir, al menos, el diámetro de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tubería.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las canalizaciones aéreas se tendrá en cuenta los efectos de las deformaciones térmicas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y solicitaciones mecánicas a que pueda estar sometida la tubería, debiendo adoptarse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dispositivos de compensación, amarre y arriostramiento que sean precisos con el fin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garantizar la seguridad y estabilidad de la obra.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canalizaciones enterradas deberán estar protegidas contra la corrosión externa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mediante un revestimiento continuo a base de brea de hulla, betún de petróleo, materias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plásticas y otros materiales, de forma que la resistencia eléctrica, adherencia al metal,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impermeabilidad al aire y al agua, resistencia a los agentes químicos del suelo, plasticidad y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resistencia mecánica satisfagan las condiciones a las que se verá sometida la canalización.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Inmediatamente antes de ser enterrada la canalización se comprobará el buen estado del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revestimiento, mediante un detector de rigidez dieléctrica por salto de chispa tarado a 10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KV como mínimo.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los puntos de la red en los que se usen vainas o tubos de protección metálicos y éstos 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se aíslen del suelo, se asegurarán un perfecto aislamiento eléctrico entre la canalización y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dicha vaina, o se incluirá ésta en el sistema de protección catódica.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partes de canalización aéreas se protegerán contra la corrosión externa por medio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pintura, metalizado u otro sistema apropiado.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Como complemento del revestimiento externo, todas las canalizaciones enterradas, salvo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que se demuestre que no es necesario con un estudio de agresividad del terreno o para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tramos de acero inferiores a 10 metros o cruce de la calle u obstáculo similar en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canalizaciones de otro material, irán provistas e un sistema de protección catódica que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garantice un potencial entre la canalización y el suelo que, medido respecto al electrodo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referencia cobre-sulfato de cobre, sea igual o inferior a –0,85 V. Dicho potencial será –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0,95 V, como máximo, cuando haya riesgo de corrosión por bacterias sulfatorreductoras.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aquellos casos en que existan corrientes vagabundas, ya sea por proximidad a líneas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férreas u otras causas, deberán adoptarse medidas especiales para la protección catódica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la canalización, según las exigencias de cada caso.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Cuando las corrientes vagabundas puedan provocar variaciones en el potencial de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protección, el potencial podrá alcanzar valores mayores que los indicados en el punto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anterior sin limitación de valor para puntas casi instantáneas, durante un tiempo máximo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un minuto, y valores máximos de hasta –0,50 V durante un tiempo máximo de cinco minutos,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siempre que la duración total acumulada de estas puntas en veinticuatro horas 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sobrepase una hora.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P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  <w:r w:rsidRPr="001F6E15">
        <w:rPr>
          <w:rFonts w:ascii="Century Gothic" w:hAnsi="Century Gothic" w:cs="Century Gothic"/>
          <w:b/>
          <w:bCs/>
          <w:sz w:val="16"/>
          <w:szCs w:val="16"/>
        </w:rPr>
        <w:t>1.2.- Red de Distribución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1.2.1. Tuberías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bookmarkStart w:id="1" w:name="_GoBack"/>
      <w:bookmarkEnd w:id="1"/>
      <w:r w:rsidRPr="008836CD">
        <w:rPr>
          <w:rFonts w:ascii="Century Gothic" w:hAnsi="Century Gothic" w:cs="Century Gothic"/>
          <w:sz w:val="16"/>
          <w:szCs w:val="16"/>
        </w:rPr>
        <w:t>Serán de acero o polietileno.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Las primeras serán de acero estirado sin soldadura o acero soldado longitudinalmente 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helicoidalmente.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 xml:space="preserve">Para el cálculo de los espesores de la tubería se estará </w:t>
      </w:r>
      <w:r w:rsidRPr="008836CD">
        <w:rPr>
          <w:rFonts w:ascii="Century Gothic" w:hAnsi="Century Gothic" w:cs="Century Gothic"/>
          <w:sz w:val="16"/>
          <w:szCs w:val="16"/>
        </w:rPr>
        <w:t>al dispuesto</w:t>
      </w:r>
      <w:r w:rsidRPr="008836CD">
        <w:rPr>
          <w:rFonts w:ascii="Century Gothic" w:hAnsi="Century Gothic" w:cs="Century Gothic"/>
          <w:sz w:val="16"/>
          <w:szCs w:val="16"/>
        </w:rPr>
        <w:t xml:space="preserve"> en la Norma UNE-EN-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12007-3. y en lo referente a la fabricación, prueba y control de las mismas, se seguirán las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especificaciones establecidas en las normas UNE, ISO EN u otra de reconocido prestigio (API,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DIN).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las de polietileno, para la determinación del polímero, así como para el cálculo de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espesores de los tubos y para la fabricación, prueba y control de las mismas, se seguirán las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especificaciones establecidas en la Norma UNE-EN ISO 12162, según especifica la Norma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UNE 60311:2001, u otra norma de reconocido prestigio (ISO, ANSI, B 31.8, ASTM D 2.513).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Dadas las características es este material</w:t>
      </w:r>
      <w:r>
        <w:rPr>
          <w:rFonts w:ascii="Century Gothic" w:hAnsi="Century Gothic" w:cs="Century Gothic"/>
          <w:sz w:val="16"/>
          <w:szCs w:val="16"/>
        </w:rPr>
        <w:t xml:space="preserve"> 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No debe emplearse el polietileno a la intemperie. La temperatura de operación no debe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ser inferior a -20ºC ni superar los 40 ºC.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lastRenderedPageBreak/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Debe vigilarse especialmente que los tubos no reciban, con ocasión de su transporte 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su tendido, golpes contra cuerpos con aristas vivas.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Debe almacenarse protegiéndolo e los rayos solares, cuando en su composición 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contengan algún producto que lo proteja de los efectos perjudiciales de los mismos.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SymbolMT"/>
          <w:sz w:val="16"/>
          <w:szCs w:val="16"/>
        </w:rPr>
        <w:t xml:space="preserve">• </w:t>
      </w:r>
      <w:r w:rsidRPr="008836CD">
        <w:rPr>
          <w:rFonts w:ascii="Century Gothic" w:hAnsi="Century Gothic" w:cs="Century Gothic"/>
          <w:sz w:val="16"/>
          <w:szCs w:val="16"/>
        </w:rPr>
        <w:t>Los requisitos técnicos de las canalizaciones de polietileno estarán de acuerdo con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Norma UNE-EN 12007-2.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 xml:space="preserve">1.2.2. 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Accesorios y elementos auxiliares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Los accesorios (piezas de forma, bridas u otros) elementos auxiliares (válvulas, filtros, sifones,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dispositivos de limitación de presión u otros) de las canalizaciones, deberán cumplir las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normas UNE, ISO u otras de reconocido prestigio o deberán haber sido convenientemente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ensayados por la Empresa suministradora o por Entidad de reconocida competencia. En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todos los casos, los ensayos mencionados deberán garantizar la seguridad operativa de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accesorios</w:t>
      </w:r>
      <w:r>
        <w:rPr>
          <w:rFonts w:ascii="Century Gothic" w:hAnsi="Century Gothic" w:cs="Century Gothic"/>
          <w:sz w:val="16"/>
          <w:szCs w:val="16"/>
        </w:rPr>
        <w:t xml:space="preserve"> y de los elementos auxiliares. </w:t>
      </w:r>
      <w:r w:rsidRPr="008836CD">
        <w:rPr>
          <w:rFonts w:ascii="Century Gothic" w:hAnsi="Century Gothic" w:cs="Century Gothic"/>
          <w:sz w:val="16"/>
          <w:szCs w:val="16"/>
        </w:rPr>
        <w:t>La determinación del polímero, clasificación y designación se deber realizar de acuerdo con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la Norma UNE-EN ISO 12162.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Los materiales y componentes de polietileno deben ser conformes con la Norma UNE o EN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aplicación, o en su ausencia, con especificaciones técnicas e las que se describan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calidad y propiedades de los compuestos y resinas de base, el proceso, equipos 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instalaciones de fabricación de los tubos, las tolerancias dimensionales, los defectos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admisibles y los ensayos, pruebas y controles, así como las certificaciones y condiciones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recepción y marcado.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1.2.3. Construcción</w:t>
      </w: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 vigilancia y control de la colocación de los tubos, la realización de las uniones y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ensayos y pruebas a ejecutar los hará el propio distribuidor de gas o una Empresa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especialista designada por el mismo.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 Empresa que ejecute la instalación de los elementos que constituyen la canalización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deberán disponer del equipo y el personal especializado por la correcta realización de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trabajos.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Debe comprobarse en obra, después del transporte y antes de su colocación, el buen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estado de los tubos, de su revestimiento, de los accesorios y de los elementos de unión, así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como la ausencia de cuerpos extraños.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El fondo de la zanja se preparará de forma que el tubo tenga un soporte firme, continuo y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exento de materiales que puedan dañar la tubería o su protección.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Durante la instalación de la canalización se tomarán precauciones especiales para no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perturbar el buen funcionamiento de las redes de drenaje o de cualquier otra instalación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subterránea cercana a la canalización de gas.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caso de gas húmedo, la canalización deberá tener una pendiente de 5 mm/m, al objeto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permitir la recogida de eventuales condensados en las zonas bajas de la misma.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 colocación en la zanja de la tubería de polietileno se tomarán las debidas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precauciones que permitan la absorción de las dilataciones, a fin de evitar sobretensiones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perjudiciales por variaciones térmicas.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 los tubos de las canalizaciones entre sí, y entre estos y sus accesorios,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deberán hacerse de acuerdo con los materiales en contacto, mediante bridas, piezas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especialmente diseñadas para ello o empleando la correspondiente técnica de soldadura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 frío o en caliente. En las uniones con elementos auxiliares se podrán utilizar además de los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tipos de unión anteriormente especificados, las uniones roscadas. En todo caso debe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asegurarse la estanqueidad de las uniones no soldadas mediante juntas comprensibles 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deformables de materias no atacables por el gas.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deben ser realizadas únicamente por personal cualificado y la realización de las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soldaduras, en las canalizaciones de acero, deberá confiarse a soldadores calificados por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el CENIM (Centro Nacional de Investigaciones Metalúrgicas) o por una Entidad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colaboradora para la aplicación de la Reglamentación técnica de distribución y utilización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combustibles gaseoso y sus instrucciones técnicas complementarias (Decreto 919/2006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 28 de Julio), tras superar las correspondientes pruebas de capacitación según norma UNE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14042 u otra de reconocido prestigio.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Las uniones de los tubos de polietileno entre sí se harán normalmente por fusión, y las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estos accesorios, a elementos auxiliares o a tubos metálicos se harán mediante soldadura o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sistemas apropiados. Las soldaduras de polietileno deberán ser realizadas pro soldadores de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polietileno cualificados de acuerdo con la legislación vigente.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Para las transiciones de polietileno con accesorios de otros materiales, y excepcionalmente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en la reparación de conducciones existentes, se pueden utilizar enlaces mecánicos. No se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deben usar uniones roscadas.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  <w:r w:rsidRPr="008836CD">
        <w:rPr>
          <w:rFonts w:ascii="Century Gothic" w:hAnsi="Century Gothic" w:cs="Century Gothic"/>
          <w:sz w:val="16"/>
          <w:szCs w:val="16"/>
        </w:rPr>
        <w:t>En las canalizaciones de polietileno, las válvulas deberán inmovilizarse a fin de evitar que se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transmitan a los tubos los esfuerzos producidos al maniobrarlas.</w:t>
      </w:r>
    </w:p>
    <w:p w:rsidR="001F6E15" w:rsidRPr="008836CD" w:rsidRDefault="001F6E15" w:rsidP="001F6E1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sz w:val="16"/>
          <w:szCs w:val="16"/>
        </w:rPr>
      </w:pPr>
    </w:p>
    <w:p w:rsidR="001F6E15" w:rsidRDefault="001F6E15" w:rsidP="001F6E15">
      <w:pPr>
        <w:autoSpaceDE w:val="0"/>
        <w:autoSpaceDN w:val="0"/>
        <w:adjustRightInd w:val="0"/>
        <w:spacing w:after="0" w:line="240" w:lineRule="auto"/>
        <w:jc w:val="both"/>
      </w:pPr>
      <w:r w:rsidRPr="008836CD">
        <w:rPr>
          <w:rFonts w:ascii="Century Gothic" w:hAnsi="Century Gothic" w:cs="Century Gothic"/>
          <w:sz w:val="16"/>
          <w:szCs w:val="16"/>
        </w:rPr>
        <w:t>Todas las partes accesibles de la canalización deberán ser resistentes a la manipulación por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personal ajeno a la Compañía operadora y, en su defecto, deberán disponer de la</w:t>
      </w:r>
      <w:r>
        <w:rPr>
          <w:rFonts w:ascii="Century Gothic" w:hAnsi="Century Gothic" w:cs="Century Gothic"/>
          <w:sz w:val="16"/>
          <w:szCs w:val="16"/>
        </w:rPr>
        <w:t xml:space="preserve"> </w:t>
      </w:r>
      <w:r w:rsidRPr="008836CD">
        <w:rPr>
          <w:rFonts w:ascii="Century Gothic" w:hAnsi="Century Gothic" w:cs="Century Gothic"/>
          <w:sz w:val="16"/>
          <w:szCs w:val="16"/>
        </w:rPr>
        <w:t>correspondiente protección.</w:t>
      </w:r>
    </w:p>
    <w:p w:rsidR="001F6E15" w:rsidRPr="001F6E15" w:rsidRDefault="001F6E15" w:rsidP="001F6E15">
      <w:pPr>
        <w:pStyle w:val="CUERPOTEXTO"/>
        <w:rPr>
          <w:szCs w:val="16"/>
        </w:rPr>
      </w:pPr>
    </w:p>
    <w:sectPr w:rsidR="001F6E15" w:rsidRPr="001F6E15" w:rsidSect="008341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2A9" w:rsidRDefault="004742A9">
      <w:pPr>
        <w:spacing w:after="0" w:line="240" w:lineRule="auto"/>
      </w:pPr>
      <w:r>
        <w:separator/>
      </w:r>
    </w:p>
  </w:endnote>
  <w:endnote w:type="continuationSeparator" w:id="0">
    <w:p w:rsidR="004742A9" w:rsidRDefault="0047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194" w:rsidRDefault="004742A9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  <w:p w:rsidR="00834194" w:rsidRDefault="00834194">
    <w:pPr>
      <w:spacing w:after="0" w:line="240" w:lineRule="auto"/>
      <w:jc w:val="right"/>
      <w:rPr>
        <w:rFonts w:ascii="Verdana" w:hAnsi="Verdana" w:cs="Verdana"/>
        <w:sz w:val="18"/>
      </w:rPr>
    </w:pPr>
    <w:r>
      <w:rPr>
        <w:rFonts w:ascii="Verdana" w:hAnsi="Verdana" w:cs="Verdana"/>
        <w:sz w:val="18"/>
      </w:rP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Pr="007A5CAD">
      <w:rPr>
        <w:rFonts w:ascii="Verdana" w:hAnsi="Verdana" w:cs="Verdana"/>
        <w:noProof/>
        <w:sz w:val="18"/>
      </w:rPr>
      <w:t>22</w:t>
    </w:r>
    <w:r>
      <w:rPr>
        <w:rFonts w:ascii="Verdana" w:hAnsi="Verdana" w:cs="Verdana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jc w:val="center"/>
      <w:tblLayout w:type="fixed"/>
      <w:tblLook w:val="04A0" w:firstRow="1" w:lastRow="0" w:firstColumn="1" w:lastColumn="0" w:noHBand="0" w:noVBand="1"/>
    </w:tblPr>
    <w:tblGrid>
      <w:gridCol w:w="2409"/>
      <w:gridCol w:w="2409"/>
      <w:gridCol w:w="2409"/>
      <w:gridCol w:w="2409"/>
    </w:tblGrid>
    <w:tr w:rsidR="00834194" w:rsidRPr="00215DEC" w:rsidTr="00834194">
      <w:trPr>
        <w:trHeight w:val="170"/>
        <w:jc w:val="center"/>
      </w:trPr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1691"/>
              <w:tab w:val="left" w:pos="1926"/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</w:tr>
    <w:tr w:rsidR="00834194" w:rsidRPr="00215DEC" w:rsidTr="00834194">
      <w:trPr>
        <w:trHeight w:val="170"/>
        <w:jc w:val="center"/>
      </w:trPr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ASISTENCIA TÉCNICA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Borja SANTAFE MAIBACH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m_692 249 927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info@santafearquitectos.es</w:t>
          </w:r>
        </w:p>
      </w:tc>
    </w:tr>
    <w:tr w:rsidR="00834194" w:rsidRPr="00215DEC" w:rsidTr="00834194">
      <w:trPr>
        <w:trHeight w:val="170"/>
        <w:jc w:val="center"/>
      </w:trPr>
      <w:tc>
        <w:tcPr>
          <w:tcW w:w="2409" w:type="dxa"/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</w:p>
      </w:tc>
      <w:tc>
        <w:tcPr>
          <w:tcW w:w="2409" w:type="dxa"/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834194" w:rsidRPr="00215DEC" w:rsidRDefault="00834194" w:rsidP="00834194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834194" w:rsidRPr="00215DEC" w:rsidRDefault="00834194" w:rsidP="00834194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hAnsi="Times New Roman"/>
              <w:color w:val="595959"/>
              <w:sz w:val="16"/>
              <w:szCs w:val="16"/>
            </w:rPr>
          </w:pP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begin"/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instrText xml:space="preserve"> PAGE </w:instrTex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separate"/>
          </w:r>
          <w:r w:rsidR="001F6E15">
            <w:rPr>
              <w:rFonts w:ascii="Century Gothic" w:hAnsi="Century Gothic"/>
              <w:noProof/>
              <w:color w:val="595959"/>
              <w:sz w:val="16"/>
              <w:szCs w:val="16"/>
            </w:rPr>
            <w:t>5</w: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end"/>
          </w:r>
        </w:p>
      </w:tc>
    </w:tr>
  </w:tbl>
  <w:p w:rsidR="00834194" w:rsidRPr="00834194" w:rsidRDefault="00834194" w:rsidP="00834194">
    <w:pPr>
      <w:pStyle w:val="Piedepgin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2A9" w:rsidRDefault="004742A9">
      <w:pPr>
        <w:spacing w:after="0" w:line="240" w:lineRule="auto"/>
      </w:pPr>
      <w:r>
        <w:separator/>
      </w:r>
    </w:p>
  </w:footnote>
  <w:footnote w:type="continuationSeparator" w:id="0">
    <w:p w:rsidR="004742A9" w:rsidRDefault="0047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43"/>
      <w:gridCol w:w="9322"/>
    </w:tblGrid>
    <w:tr w:rsidR="00834194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834194" w:rsidRDefault="00834194">
          <w:pPr>
            <w:spacing w:after="0" w:line="240" w:lineRule="auto"/>
            <w:jc w:val="center"/>
            <w:rPr>
              <w:rFonts w:ascii="Verdana" w:hAnsi="Verdana" w:cs="Verdana"/>
              <w:sz w:val="10"/>
            </w:rPr>
          </w:pPr>
          <w:r>
            <w:rPr>
              <w:noProof/>
            </w:rPr>
            <w:drawing>
              <wp:inline distT="0" distB="0" distL="0" distR="0" wp14:anchorId="2D71777D" wp14:editId="7501CA2D">
                <wp:extent cx="309600" cy="309600"/>
                <wp:effectExtent l="0" t="0" r="0" b="0"/>
                <wp:docPr id="17" name="0 Imagen" descr="image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9600" cy="3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834194" w:rsidRDefault="00834194">
          <w:pPr>
            <w:pStyle w:val="CABEZAPAGtitulo"/>
            <w:jc w:val="center"/>
            <w:rPr>
              <w:sz w:val="17"/>
            </w:rPr>
          </w:pPr>
          <w:r>
            <w:rPr>
              <w:sz w:val="17"/>
            </w:rPr>
            <w:t>Proyecto de la instalación de suministro de agua - Pliego de condiciones</w:t>
          </w:r>
        </w:p>
      </w:tc>
    </w:tr>
    <w:tr w:rsidR="00834194">
      <w:trPr>
        <w:cantSplit/>
        <w:jc w:val="center"/>
      </w:trPr>
      <w:tc>
        <w:tcPr>
          <w:tcW w:w="0" w:type="auto"/>
          <w:vMerge/>
        </w:tcPr>
        <w:p w:rsidR="00834194" w:rsidRDefault="00834194"/>
      </w:tc>
      <w:tc>
        <w:tcPr>
          <w:tcW w:w="5000" w:type="pct"/>
          <w:vAlign w:val="center"/>
        </w:tcPr>
        <w:p w:rsidR="00834194" w:rsidRDefault="00834194">
          <w:pPr>
            <w:pStyle w:val="CABEZAPAGtexto"/>
            <w:rPr>
              <w:sz w:val="10"/>
            </w:rPr>
          </w:pPr>
          <w:r>
            <w:rPr>
              <w:sz w:val="10"/>
            </w:rPr>
            <w:t xml:space="preserve"> </w:t>
          </w:r>
        </w:p>
      </w:tc>
    </w:tr>
  </w:tbl>
  <w:p w:rsidR="00834194" w:rsidRDefault="00834194">
    <w:pPr>
      <w:spacing w:after="0" w:line="2" w:lineRule="auto"/>
    </w:pPr>
  </w:p>
  <w:p w:rsidR="00834194" w:rsidRDefault="004742A9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4818"/>
      <w:gridCol w:w="4819"/>
    </w:tblGrid>
    <w:tr w:rsidR="00834194" w:rsidRPr="00240F8B" w:rsidTr="00834194">
      <w:trPr>
        <w:cantSplit/>
        <w:trHeight w:val="227"/>
        <w:jc w:val="center"/>
      </w:trPr>
      <w:tc>
        <w:tcPr>
          <w:tcW w:w="2500" w:type="pct"/>
          <w:noWrap/>
          <w:vAlign w:val="center"/>
        </w:tcPr>
        <w:p w:rsidR="00834194" w:rsidRPr="007D069C" w:rsidRDefault="00834194" w:rsidP="00834194">
          <w:pPr>
            <w:spacing w:after="0" w:line="240" w:lineRule="auto"/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Century Gothic"/>
              <w:color w:val="595959"/>
              <w:sz w:val="16"/>
            </w:rPr>
            <w:t xml:space="preserve">Proyecto de Ejecución: IES María Rodrigo </w:t>
          </w:r>
          <w:r>
            <w:rPr>
              <w:rFonts w:ascii="Century Gothic" w:hAnsi="Century Gothic" w:cs="Century Gothic"/>
              <w:color w:val="595959"/>
              <w:sz w:val="16"/>
            </w:rPr>
            <w:t>Ampliación</w:t>
          </w:r>
        </w:p>
      </w:tc>
      <w:tc>
        <w:tcPr>
          <w:tcW w:w="2500" w:type="pct"/>
          <w:noWrap/>
          <w:vAlign w:val="center"/>
        </w:tcPr>
        <w:p w:rsidR="00834194" w:rsidRPr="00527B1B" w:rsidRDefault="00834194" w:rsidP="00834194">
          <w:pPr>
            <w:spacing w:after="0" w:line="240" w:lineRule="auto"/>
            <w:jc w:val="right"/>
            <w:rPr>
              <w:rFonts w:ascii="Century Gothic" w:hAnsi="Century Gothic" w:cs="Century Gothic"/>
              <w:color w:val="808080"/>
              <w:sz w:val="16"/>
            </w:rPr>
          </w:pPr>
        </w:p>
      </w:tc>
    </w:tr>
    <w:tr w:rsidR="00834194" w:rsidRPr="00240F8B" w:rsidTr="00834194">
      <w:trPr>
        <w:cantSplit/>
        <w:trHeight w:val="227"/>
        <w:jc w:val="center"/>
      </w:trPr>
      <w:tc>
        <w:tcPr>
          <w:tcW w:w="2500" w:type="pct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34194" w:rsidRPr="007D069C" w:rsidRDefault="00834194" w:rsidP="00834194">
          <w:pPr>
            <w:spacing w:after="0" w:line="240" w:lineRule="auto"/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Verdana"/>
              <w:color w:val="595959"/>
              <w:sz w:val="16"/>
              <w:szCs w:val="16"/>
            </w:rPr>
            <w:t>Calle de Talamanca nº 2</w:t>
          </w:r>
        </w:p>
      </w:tc>
      <w:tc>
        <w:tcPr>
          <w:tcW w:w="2500" w:type="pct"/>
          <w:noWrap/>
          <w:vAlign w:val="center"/>
        </w:tcPr>
        <w:p w:rsidR="00834194" w:rsidRPr="00D263A9" w:rsidRDefault="00834194" w:rsidP="001F6E15">
          <w:pPr>
            <w:spacing w:after="0" w:line="240" w:lineRule="auto"/>
            <w:jc w:val="right"/>
            <w:rPr>
              <w:rFonts w:ascii="Century Gothic" w:hAnsi="Century Gothic" w:cs="Century Gothic"/>
              <w:color w:val="808080"/>
              <w:sz w:val="16"/>
              <w:szCs w:val="16"/>
            </w:rPr>
          </w:pPr>
          <w:r>
            <w:rPr>
              <w:rFonts w:ascii="Century Gothic" w:hAnsi="Century Gothic" w:cs="Century Gothic"/>
              <w:color w:val="808080"/>
              <w:sz w:val="16"/>
              <w:szCs w:val="16"/>
            </w:rPr>
            <w:t xml:space="preserve">Memoria de Cálculo de </w:t>
          </w:r>
          <w:r w:rsidR="001F6E15">
            <w:rPr>
              <w:rFonts w:ascii="Century Gothic" w:hAnsi="Century Gothic" w:cs="Century Gothic"/>
              <w:color w:val="808080"/>
              <w:sz w:val="16"/>
              <w:szCs w:val="16"/>
            </w:rPr>
            <w:t>Gas</w:t>
          </w:r>
        </w:p>
      </w:tc>
    </w:tr>
  </w:tbl>
  <w:p w:rsidR="00834194" w:rsidRPr="009D25F7" w:rsidRDefault="00834194" w:rsidP="00834194">
    <w:pPr>
      <w:pStyle w:val="Encabezado"/>
      <w:rPr>
        <w:rFonts w:ascii="Century Gothic" w:hAnsi="Century Gothic"/>
        <w:color w:val="808080" w:themeColor="background1" w:themeShade="8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194" w:rsidRDefault="00834194" w:rsidP="009D25F7">
    <w:pPr>
      <w:pStyle w:val="Encabezad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76C8"/>
    <w:multiLevelType w:val="singleLevel"/>
    <w:tmpl w:val="5EBE305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" w15:restartNumberingAfterBreak="0">
    <w:nsid w:val="03950A8B"/>
    <w:multiLevelType w:val="singleLevel"/>
    <w:tmpl w:val="5D8642B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" w15:restartNumberingAfterBreak="0">
    <w:nsid w:val="0F3805D1"/>
    <w:multiLevelType w:val="singleLevel"/>
    <w:tmpl w:val="C92A014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3" w15:restartNumberingAfterBreak="0">
    <w:nsid w:val="152863C2"/>
    <w:multiLevelType w:val="singleLevel"/>
    <w:tmpl w:val="A71662D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4" w15:restartNumberingAfterBreak="0">
    <w:nsid w:val="188E2E61"/>
    <w:multiLevelType w:val="singleLevel"/>
    <w:tmpl w:val="DD7EE80C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5" w15:restartNumberingAfterBreak="0">
    <w:nsid w:val="19952A27"/>
    <w:multiLevelType w:val="multilevel"/>
    <w:tmpl w:val="014C08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AB7E6B"/>
    <w:multiLevelType w:val="singleLevel"/>
    <w:tmpl w:val="5F48D4C8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7" w15:restartNumberingAfterBreak="0">
    <w:nsid w:val="26426BF6"/>
    <w:multiLevelType w:val="singleLevel"/>
    <w:tmpl w:val="040C8CA2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8" w15:restartNumberingAfterBreak="0">
    <w:nsid w:val="301B3F4A"/>
    <w:multiLevelType w:val="singleLevel"/>
    <w:tmpl w:val="53E2574A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9" w15:restartNumberingAfterBreak="0">
    <w:nsid w:val="32A81CB4"/>
    <w:multiLevelType w:val="singleLevel"/>
    <w:tmpl w:val="C096F486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10" w15:restartNumberingAfterBreak="0">
    <w:nsid w:val="36F772CE"/>
    <w:multiLevelType w:val="singleLevel"/>
    <w:tmpl w:val="539AC3A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1" w15:restartNumberingAfterBreak="0">
    <w:nsid w:val="3B1138E4"/>
    <w:multiLevelType w:val="singleLevel"/>
    <w:tmpl w:val="AA6C7546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2" w15:restartNumberingAfterBreak="0">
    <w:nsid w:val="3F78244D"/>
    <w:multiLevelType w:val="singleLevel"/>
    <w:tmpl w:val="8F12428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3" w15:restartNumberingAfterBreak="0">
    <w:nsid w:val="48145DB6"/>
    <w:multiLevelType w:val="singleLevel"/>
    <w:tmpl w:val="AF6C5138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4" w15:restartNumberingAfterBreak="0">
    <w:nsid w:val="4CC74462"/>
    <w:multiLevelType w:val="singleLevel"/>
    <w:tmpl w:val="450C6472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5" w15:restartNumberingAfterBreak="0">
    <w:nsid w:val="551004DA"/>
    <w:multiLevelType w:val="singleLevel"/>
    <w:tmpl w:val="80EED12C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6" w15:restartNumberingAfterBreak="0">
    <w:nsid w:val="5B4C3463"/>
    <w:multiLevelType w:val="singleLevel"/>
    <w:tmpl w:val="ECBC98BC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17" w15:restartNumberingAfterBreak="0">
    <w:nsid w:val="712B4EC3"/>
    <w:multiLevelType w:val="singleLevel"/>
    <w:tmpl w:val="C792A5B4"/>
    <w:lvl w:ilvl="0">
      <w:start w:val="1"/>
      <w:numFmt w:val="bullet"/>
      <w:lvlText w:val="-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4"/>
  </w:num>
  <w:num w:numId="5">
    <w:abstractNumId w:val="1"/>
  </w:num>
  <w:num w:numId="6">
    <w:abstractNumId w:val="8"/>
  </w:num>
  <w:num w:numId="7">
    <w:abstractNumId w:val="4"/>
  </w:num>
  <w:num w:numId="8">
    <w:abstractNumId w:val="16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51"/>
    <w:rsid w:val="001F6E15"/>
    <w:rsid w:val="00206AC6"/>
    <w:rsid w:val="00217027"/>
    <w:rsid w:val="004742A9"/>
    <w:rsid w:val="006A5A1F"/>
    <w:rsid w:val="006B6351"/>
    <w:rsid w:val="007A5CAD"/>
    <w:rsid w:val="00817EE5"/>
    <w:rsid w:val="00834194"/>
    <w:rsid w:val="00841C26"/>
    <w:rsid w:val="00847314"/>
    <w:rsid w:val="008C4943"/>
    <w:rsid w:val="009D25F7"/>
    <w:rsid w:val="00BA4977"/>
    <w:rsid w:val="00BC6325"/>
    <w:rsid w:val="00C9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618D724-F244-4DCE-9996-4EEC25E5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b/>
      <w:sz w:val="16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b/>
      <w:sz w:val="16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sz w:val="16"/>
    </w:rPr>
  </w:style>
  <w:style w:type="paragraph" w:customStyle="1" w:styleId="INDCAP4">
    <w:name w:val="IND.CAP.4"/>
    <w:basedOn w:val="Normal"/>
    <w:next w:val="CUERPOTEXTO"/>
    <w:uiPriority w:val="9"/>
    <w:qFormat/>
    <w:pPr>
      <w:spacing w:after="0" w:line="240" w:lineRule="auto"/>
    </w:pPr>
    <w:rPr>
      <w:rFonts w:ascii="Century Gothic" w:hAnsi="Century Gothic" w:cs="Century Gothic"/>
      <w:i/>
      <w:sz w:val="16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Century Gothic" w:hAnsi="Century Gothic" w:cs="Century Gothic"/>
      <w:b/>
      <w:sz w:val="24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sz w:val="20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Century Gothic" w:hAnsi="Century Gothic" w:cs="Century Gothic"/>
      <w:sz w:val="16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Century Gothic" w:hAnsi="Century Gothic" w:cs="Century Gothic"/>
      <w:sz w:val="16"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sz w:val="16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Century Gothic" w:hAnsi="Century Gothic" w:cs="Century Gothic"/>
      <w:b/>
      <w:i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5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5CA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5C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5CAD"/>
  </w:style>
  <w:style w:type="paragraph" w:styleId="Piedepgina">
    <w:name w:val="footer"/>
    <w:basedOn w:val="Normal"/>
    <w:link w:val="PiedepginaCar"/>
    <w:uiPriority w:val="99"/>
    <w:unhideWhenUsed/>
    <w:rsid w:val="007A5C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5CAD"/>
  </w:style>
  <w:style w:type="paragraph" w:styleId="NormalWeb">
    <w:name w:val="Normal (Web)"/>
    <w:basedOn w:val="Normal"/>
    <w:uiPriority w:val="99"/>
    <w:unhideWhenUsed/>
    <w:rsid w:val="00834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834194"/>
    <w:pPr>
      <w:spacing w:after="100"/>
    </w:pPr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1F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2736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2018-01-23T09:56:00Z</dcterms:created>
  <dcterms:modified xsi:type="dcterms:W3CDTF">2018-01-23T09:56:00Z</dcterms:modified>
</cp:coreProperties>
</file>